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1234" w14:textId="77777777" w:rsidR="00FE067E" w:rsidRPr="007003C4" w:rsidRDefault="00CD36CF" w:rsidP="00CC1F3B">
      <w:pPr>
        <w:pStyle w:val="TitlePageOrigin"/>
        <w:rPr>
          <w:color w:val="auto"/>
        </w:rPr>
      </w:pPr>
      <w:r w:rsidRPr="007003C4">
        <w:rPr>
          <w:color w:val="auto"/>
        </w:rPr>
        <w:t>WEST virginia legislature</w:t>
      </w:r>
    </w:p>
    <w:p w14:paraId="13DA3075" w14:textId="77777777" w:rsidR="00CD36CF" w:rsidRPr="007003C4" w:rsidRDefault="00CD36CF" w:rsidP="00CC1F3B">
      <w:pPr>
        <w:pStyle w:val="TitlePageSession"/>
        <w:rPr>
          <w:color w:val="auto"/>
        </w:rPr>
      </w:pPr>
      <w:r w:rsidRPr="007003C4">
        <w:rPr>
          <w:color w:val="auto"/>
        </w:rPr>
        <w:t>20</w:t>
      </w:r>
      <w:r w:rsidR="00CB1ADC" w:rsidRPr="007003C4">
        <w:rPr>
          <w:color w:val="auto"/>
        </w:rPr>
        <w:t>2</w:t>
      </w:r>
      <w:r w:rsidR="004D36C4" w:rsidRPr="007003C4">
        <w:rPr>
          <w:color w:val="auto"/>
        </w:rPr>
        <w:t>1</w:t>
      </w:r>
      <w:r w:rsidRPr="007003C4">
        <w:rPr>
          <w:color w:val="auto"/>
        </w:rPr>
        <w:t xml:space="preserve"> regular session</w:t>
      </w:r>
    </w:p>
    <w:p w14:paraId="3481AAA2" w14:textId="77777777" w:rsidR="00CD36CF" w:rsidRPr="007003C4" w:rsidRDefault="00F53C0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003C4">
            <w:rPr>
              <w:color w:val="auto"/>
            </w:rPr>
            <w:t>Introduced</w:t>
          </w:r>
        </w:sdtContent>
      </w:sdt>
    </w:p>
    <w:p w14:paraId="6D7BD02E" w14:textId="1502AC25" w:rsidR="00CD36CF" w:rsidRPr="007003C4" w:rsidRDefault="00F53C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003C4">
            <w:rPr>
              <w:color w:val="auto"/>
            </w:rPr>
            <w:t>House</w:t>
          </w:r>
        </w:sdtContent>
      </w:sdt>
      <w:r w:rsidR="00303684" w:rsidRPr="007003C4">
        <w:rPr>
          <w:color w:val="auto"/>
        </w:rPr>
        <w:t xml:space="preserve"> </w:t>
      </w:r>
      <w:r w:rsidR="00CD36CF" w:rsidRPr="007003C4">
        <w:rPr>
          <w:color w:val="auto"/>
        </w:rPr>
        <w:t xml:space="preserve">Bill </w:t>
      </w:r>
      <w:sdt>
        <w:sdtPr>
          <w:rPr>
            <w:color w:val="auto"/>
          </w:rPr>
          <w:tag w:val="BNum"/>
          <w:id w:val="1645317809"/>
          <w:lock w:val="sdtLocked"/>
          <w:placeholder>
            <w:docPart w:val="7CD44D7481684EFBB2169CAE07E0AB86"/>
          </w:placeholder>
          <w:text/>
        </w:sdtPr>
        <w:sdtEndPr/>
        <w:sdtContent>
          <w:r w:rsidR="00EB251D">
            <w:rPr>
              <w:color w:val="auto"/>
            </w:rPr>
            <w:t>234</w:t>
          </w:r>
          <w:r>
            <w:rPr>
              <w:color w:val="auto"/>
            </w:rPr>
            <w:t>7</w:t>
          </w:r>
        </w:sdtContent>
      </w:sdt>
    </w:p>
    <w:p w14:paraId="41EE71EB" w14:textId="49EF2D87" w:rsidR="00CD36CF" w:rsidRPr="007003C4" w:rsidRDefault="00CD36CF" w:rsidP="00CC1F3B">
      <w:pPr>
        <w:pStyle w:val="Sponsors"/>
        <w:rPr>
          <w:color w:val="auto"/>
        </w:rPr>
      </w:pPr>
      <w:r w:rsidRPr="007003C4">
        <w:rPr>
          <w:color w:val="auto"/>
        </w:rPr>
        <w:t xml:space="preserve">By </w:t>
      </w:r>
      <w:sdt>
        <w:sdtPr>
          <w:rPr>
            <w:color w:val="auto"/>
          </w:rPr>
          <w:tag w:val="Sponsors"/>
          <w:id w:val="1589585889"/>
          <w:placeholder>
            <w:docPart w:val="BC6A277E70A54C5D83F0F91084EB54B0"/>
          </w:placeholder>
          <w:text w:multiLine="1"/>
        </w:sdtPr>
        <w:sdtEndPr/>
        <w:sdtContent>
          <w:r w:rsidR="00DB1649" w:rsidRPr="007003C4">
            <w:rPr>
              <w:color w:val="auto"/>
            </w:rPr>
            <w:t>Delegate</w:t>
          </w:r>
          <w:r w:rsidR="00142C9E">
            <w:rPr>
              <w:color w:val="auto"/>
            </w:rPr>
            <w:t>s</w:t>
          </w:r>
          <w:r w:rsidR="00DB1649" w:rsidRPr="007003C4">
            <w:rPr>
              <w:color w:val="auto"/>
            </w:rPr>
            <w:t xml:space="preserve"> Foster</w:t>
          </w:r>
          <w:r w:rsidR="00142C9E">
            <w:rPr>
              <w:color w:val="auto"/>
            </w:rPr>
            <w:t xml:space="preserve"> and D. Jeffries</w:t>
          </w:r>
        </w:sdtContent>
      </w:sdt>
    </w:p>
    <w:p w14:paraId="73950BED" w14:textId="5AACA2CD" w:rsidR="00E831B3" w:rsidRPr="007003C4" w:rsidRDefault="00CD36CF" w:rsidP="00CC1F3B">
      <w:pPr>
        <w:pStyle w:val="References"/>
        <w:rPr>
          <w:color w:val="auto"/>
        </w:rPr>
      </w:pPr>
      <w:r w:rsidRPr="007003C4">
        <w:rPr>
          <w:color w:val="auto"/>
        </w:rPr>
        <w:t>[</w:t>
      </w:r>
      <w:sdt>
        <w:sdtPr>
          <w:rPr>
            <w:color w:val="auto"/>
          </w:rPr>
          <w:tag w:val="References"/>
          <w:id w:val="-1043047873"/>
          <w:placeholder>
            <w:docPart w:val="460D713500284C7FB4932CF3609CC106"/>
          </w:placeholder>
          <w:text w:multiLine="1"/>
        </w:sdtPr>
        <w:sdtEndPr/>
        <w:sdtContent>
          <w:r w:rsidR="00EB251D">
            <w:rPr>
              <w:color w:val="auto"/>
            </w:rPr>
            <w:t>Introduced February 12, 2021; Referred to the Committee</w:t>
          </w:r>
          <w:r w:rsidR="00F53C01">
            <w:rPr>
              <w:color w:val="auto"/>
            </w:rPr>
            <w:t xml:space="preserve"> on </w:t>
          </w:r>
          <w:r w:rsidR="00EB251D">
            <w:rPr>
              <w:color w:val="auto"/>
            </w:rPr>
            <w:t>Government Organization</w:t>
          </w:r>
        </w:sdtContent>
      </w:sdt>
      <w:r w:rsidRPr="007003C4">
        <w:rPr>
          <w:color w:val="auto"/>
        </w:rPr>
        <w:t>]</w:t>
      </w:r>
    </w:p>
    <w:p w14:paraId="01A97201" w14:textId="21BCE9BD" w:rsidR="00DB1649" w:rsidRPr="007003C4" w:rsidRDefault="0000526A" w:rsidP="00DB1649">
      <w:pPr>
        <w:pStyle w:val="TitleSection"/>
        <w:rPr>
          <w:color w:val="auto"/>
        </w:rPr>
      </w:pPr>
      <w:r w:rsidRPr="007003C4">
        <w:rPr>
          <w:color w:val="auto"/>
        </w:rPr>
        <w:lastRenderedPageBreak/>
        <w:t>A BILL</w:t>
      </w:r>
      <w:r w:rsidR="00DB1649" w:rsidRPr="007003C4">
        <w:rPr>
          <w:color w:val="auto"/>
        </w:rPr>
        <w:t xml:space="preserve"> to amend and reenact §29-3B-4 of the Code of West Virginia, 1931, as amended; to amend and reenact §29-3C-4 of said code; and to amend and reenact §29-3D-6 of said code; all relating to licensure qualifications</w:t>
      </w:r>
      <w:r w:rsidR="00E036FA" w:rsidRPr="007003C4">
        <w:rPr>
          <w:color w:val="auto"/>
        </w:rPr>
        <w:t xml:space="preserve"> and technical corrections.</w:t>
      </w:r>
    </w:p>
    <w:p w14:paraId="5C87312E" w14:textId="77777777" w:rsidR="00DB1649" w:rsidRPr="007003C4" w:rsidRDefault="00DB1649" w:rsidP="00DB1649">
      <w:pPr>
        <w:pStyle w:val="EnactingClause"/>
        <w:rPr>
          <w:color w:val="auto"/>
        </w:rPr>
        <w:sectPr w:rsidR="00DB1649" w:rsidRPr="007003C4" w:rsidSect="004E3C8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003C4">
        <w:rPr>
          <w:color w:val="auto"/>
        </w:rPr>
        <w:t>Be it enacted by the Legislature of West Virginia:</w:t>
      </w:r>
    </w:p>
    <w:p w14:paraId="4976A0FB" w14:textId="77777777" w:rsidR="00DB1649" w:rsidRPr="007003C4" w:rsidRDefault="00DB1649" w:rsidP="00577A81">
      <w:pPr>
        <w:pStyle w:val="ArticleHeading"/>
        <w:rPr>
          <w:color w:val="auto"/>
        </w:rPr>
      </w:pPr>
      <w:r w:rsidRPr="007003C4">
        <w:rPr>
          <w:color w:val="auto"/>
        </w:rPr>
        <w:t xml:space="preserve">Article 3B. Supervision of Electricians. </w:t>
      </w:r>
    </w:p>
    <w:p w14:paraId="207A9D3C" w14:textId="77777777" w:rsidR="00577A81" w:rsidRPr="007003C4" w:rsidRDefault="00577A81" w:rsidP="00577A81">
      <w:pPr>
        <w:pStyle w:val="SectionHeading"/>
        <w:rPr>
          <w:color w:val="auto"/>
        </w:rPr>
      </w:pPr>
      <w:r w:rsidRPr="007003C4">
        <w:rPr>
          <w:color w:val="auto"/>
        </w:rPr>
        <w:t xml:space="preserve">§29-3B-4. Licenses; classes of licenses; issuance of licenses by commissioner; qualifications required for license; </w:t>
      </w:r>
      <w:proofErr w:type="spellStart"/>
      <w:r w:rsidRPr="007003C4">
        <w:rPr>
          <w:color w:val="auto"/>
        </w:rPr>
        <w:t>nontransferability</w:t>
      </w:r>
      <w:proofErr w:type="spellEnd"/>
      <w:r w:rsidRPr="007003C4">
        <w:rPr>
          <w:color w:val="auto"/>
        </w:rPr>
        <w:t xml:space="preserve"> and </w:t>
      </w:r>
      <w:proofErr w:type="spellStart"/>
      <w:r w:rsidRPr="007003C4">
        <w:rPr>
          <w:color w:val="auto"/>
        </w:rPr>
        <w:t>nonassignability</w:t>
      </w:r>
      <w:proofErr w:type="spellEnd"/>
      <w:r w:rsidRPr="007003C4">
        <w:rPr>
          <w:color w:val="auto"/>
        </w:rPr>
        <w:t xml:space="preserve"> of licenses; expiration of license; renewal; reciprocity.</w:t>
      </w:r>
    </w:p>
    <w:p w14:paraId="1AEEBF72" w14:textId="77777777" w:rsidR="00577A81" w:rsidRPr="007003C4" w:rsidRDefault="00577A81" w:rsidP="00577A81">
      <w:pPr>
        <w:widowControl w:val="0"/>
        <w:ind w:firstLine="720"/>
        <w:jc w:val="both"/>
        <w:rPr>
          <w:rFonts w:eastAsia="Calibri" w:cs="Times New Roman"/>
          <w:color w:val="auto"/>
        </w:rPr>
        <w:sectPr w:rsidR="00577A81" w:rsidRPr="007003C4" w:rsidSect="00577A81">
          <w:type w:val="continuous"/>
          <w:pgSz w:w="12240" w:h="15840"/>
          <w:pgMar w:top="1440" w:right="1440" w:bottom="1440" w:left="1440" w:header="720" w:footer="720" w:gutter="0"/>
          <w:cols w:space="720"/>
          <w:docGrid w:linePitch="360"/>
        </w:sectPr>
      </w:pPr>
    </w:p>
    <w:p w14:paraId="5433382D"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(a) The following classes of license may be issued by the State Fire Marshal: “Master electrician license,” “journeyman electrician license,” “apprentice electrician license” and “temporary electrician license.” Additional classes of specialty electrician license may be issued by the State Fire Marshal.</w:t>
      </w:r>
    </w:p>
    <w:p w14:paraId="4BFF064A"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 xml:space="preserve">(b)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applicant’s prior criminal convictions bear a rational nexus on the license being sought. </w:t>
      </w:r>
    </w:p>
    <w:p w14:paraId="11A12CF6"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consider at a minimum:</w:t>
      </w:r>
    </w:p>
    <w:p w14:paraId="6F46984E"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 xml:space="preserve">(A) The nature and seriousness of the crime for which the individual was convicted; </w:t>
      </w:r>
    </w:p>
    <w:p w14:paraId="024DD85C"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 xml:space="preserve">(B) The passage of time since the commission of the crime; </w:t>
      </w:r>
    </w:p>
    <w:p w14:paraId="7F71E3CF"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 xml:space="preserve">(C) The relationship of the crime to the ability, capacity, and fitness required to perform the duties and discharge the responsibilities of the profession or occupation; and </w:t>
      </w:r>
    </w:p>
    <w:p w14:paraId="4F3D8AB7"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lastRenderedPageBreak/>
        <w:t xml:space="preserve">(D) Any evidence of rehabilitation or treatment undertaken by the individual.  </w:t>
      </w:r>
    </w:p>
    <w:p w14:paraId="06FF6B78"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0FCA9E08" w14:textId="5B146B1F"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 xml:space="preserve">(A) A period of five years has elapsed from the date of conviction or the date of release from </w:t>
      </w:r>
      <w:r w:rsidRPr="007003C4">
        <w:rPr>
          <w:rFonts w:eastAsia="Calibri" w:cs="Times New Roman"/>
          <w:strike/>
          <w:color w:val="auto"/>
        </w:rPr>
        <w:t>incarceration</w:t>
      </w:r>
      <w:r w:rsidRPr="007003C4">
        <w:rPr>
          <w:rFonts w:eastAsia="Calibri" w:cs="Times New Roman"/>
          <w:color w:val="auto"/>
        </w:rPr>
        <w:t xml:space="preserve"> </w:t>
      </w:r>
      <w:r w:rsidRPr="007003C4">
        <w:rPr>
          <w:rFonts w:eastAsia="Calibri" w:cs="Times New Roman"/>
          <w:color w:val="auto"/>
          <w:u w:val="single"/>
        </w:rPr>
        <w:t>confinement,</w:t>
      </w:r>
      <w:r w:rsidRPr="007003C4">
        <w:rPr>
          <w:rFonts w:eastAsia="Calibri" w:cs="Times New Roman"/>
          <w:color w:val="auto"/>
        </w:rPr>
        <w:t xml:space="preserve"> whichever is later; </w:t>
      </w:r>
    </w:p>
    <w:p w14:paraId="6B1D5EAA"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 xml:space="preserve">(B) The individual has not been convicted of any other crime during the period of time following the disqualifying offense; and </w:t>
      </w:r>
    </w:p>
    <w:p w14:paraId="60C57DB7"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 xml:space="preserve">(C) The conviction was not for an offense of a violent or sexual nature: </w:t>
      </w:r>
      <w:r w:rsidRPr="007003C4">
        <w:rPr>
          <w:rFonts w:eastAsia="Calibri" w:cs="Times New Roman"/>
          <w:i/>
          <w:color w:val="auto"/>
        </w:rPr>
        <w:t>Provided</w:t>
      </w:r>
      <w:r w:rsidRPr="007003C4">
        <w:rPr>
          <w:rFonts w:eastAsia="Calibri" w:cs="Times New Roman"/>
          <w:color w:val="auto"/>
        </w:rPr>
        <w:t>, That a conviction for an offense of a violent or sexual nature may subject an individual to a longer period of disqualification from licensure, to be determined by the State Fire Marshal.</w:t>
      </w:r>
    </w:p>
    <w:p w14:paraId="1374CD4B"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(3) An individual with a criminal record who has not previously applied for licensure may petition the State Fire Marshal at any time for a determination of whether the individual’s criminal record will disqualify the individual from obtaining a license. This petition shall include sufficient details about the individual’s criminal record to enable the State Fire Marshal to identify the jurisdiction where the conviction occurred, the date of the conviction, and the specific nature of the conviction.</w:t>
      </w:r>
    </w:p>
    <w:p w14:paraId="02F47ABC" w14:textId="4FD8303D"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 xml:space="preserve">(c) The State Fire Marshal shall propose rules for legislative approval regarding qualifications for testing, issuance of licenses, and renewal in accordance with the provisions of §29A-3-1 </w:t>
      </w:r>
      <w:r w:rsidRPr="007003C4">
        <w:rPr>
          <w:rFonts w:eastAsia="Calibri" w:cs="Times New Roman"/>
          <w:i/>
          <w:iCs/>
          <w:color w:val="auto"/>
        </w:rPr>
        <w:t xml:space="preserve">et seq. </w:t>
      </w:r>
      <w:r w:rsidRPr="007003C4">
        <w:rPr>
          <w:rFonts w:eastAsia="Calibri" w:cs="Times New Roman"/>
          <w:color w:val="auto"/>
        </w:rPr>
        <w:t>of this code.</w:t>
      </w:r>
    </w:p>
    <w:p w14:paraId="78153285" w14:textId="77777777" w:rsidR="00577A81" w:rsidRPr="007003C4" w:rsidRDefault="00577A81" w:rsidP="00577A81">
      <w:pPr>
        <w:widowControl w:val="0"/>
        <w:ind w:firstLine="720"/>
        <w:jc w:val="both"/>
        <w:rPr>
          <w:rFonts w:eastAsia="Calibri" w:cs="Times New Roman"/>
          <w:color w:val="auto"/>
        </w:rPr>
      </w:pPr>
      <w:r w:rsidRPr="007003C4">
        <w:rPr>
          <w:rFonts w:eastAsia="Calibri" w:cs="Times New Roman"/>
          <w:color w:val="auto"/>
        </w:rPr>
        <w:t xml:space="preserve">(d) To the extent that other jurisdictions provide for the licensing of electricians, the State Fire Marshal may grant the same or equivalent classification of license without written examination upon satisfactory proof furnished to the state Fire Marshal that the qualifications of the applicant are equal to the qualifications required by this article and upon payment of the required fee: </w:t>
      </w:r>
      <w:r w:rsidRPr="007003C4">
        <w:rPr>
          <w:rFonts w:eastAsia="Calibri" w:cs="Times New Roman"/>
          <w:i/>
          <w:iCs/>
          <w:color w:val="auto"/>
        </w:rPr>
        <w:t>Provided,</w:t>
      </w:r>
      <w:r w:rsidRPr="007003C4">
        <w:rPr>
          <w:rFonts w:eastAsia="Calibri" w:cs="Times New Roman"/>
          <w:color w:val="auto"/>
        </w:rPr>
        <w:t xml:space="preserve"> That as a condition to reciprocity, the other jurisdictions must extend to licensed electricians of this state, the same or equivalent classification.</w:t>
      </w:r>
    </w:p>
    <w:p w14:paraId="100398A3" w14:textId="4F4ED5B8" w:rsidR="00DB1649" w:rsidRPr="007003C4" w:rsidRDefault="00577A81" w:rsidP="00610482">
      <w:pPr>
        <w:widowControl w:val="0"/>
        <w:ind w:firstLine="720"/>
        <w:jc w:val="both"/>
        <w:rPr>
          <w:rFonts w:eastAsia="Calibri" w:cs="Times New Roman"/>
          <w:color w:val="auto"/>
        </w:rPr>
        <w:sectPr w:rsidR="00DB1649" w:rsidRPr="007003C4" w:rsidSect="004E3C80">
          <w:type w:val="continuous"/>
          <w:pgSz w:w="12240" w:h="15840"/>
          <w:pgMar w:top="1440" w:right="1440" w:bottom="1440" w:left="1440" w:header="720" w:footer="720" w:gutter="0"/>
          <w:lnNumType w:countBy="1" w:restart="newSection"/>
          <w:cols w:space="720"/>
          <w:noEndnote/>
          <w:docGrid w:linePitch="326"/>
        </w:sectPr>
      </w:pPr>
      <w:r w:rsidRPr="007003C4">
        <w:rPr>
          <w:rFonts w:eastAsia="Calibri" w:cs="Times New Roman"/>
          <w:color w:val="auto"/>
        </w:rPr>
        <w:lastRenderedPageBreak/>
        <w:t>(e) In addition to any other information required, the applicant’s social security number shall be recorded on any application for a license submitted pursuant to the provisions of this section.</w:t>
      </w:r>
    </w:p>
    <w:p w14:paraId="1DA95931" w14:textId="67E309DF" w:rsidR="00DB1649" w:rsidRPr="007003C4" w:rsidRDefault="00DB1649" w:rsidP="00610482">
      <w:pPr>
        <w:pStyle w:val="ArticleHeading"/>
        <w:rPr>
          <w:color w:val="auto"/>
        </w:rPr>
      </w:pPr>
      <w:r w:rsidRPr="007003C4">
        <w:rPr>
          <w:color w:val="auto"/>
        </w:rPr>
        <w:t>A</w:t>
      </w:r>
      <w:r w:rsidR="00610482" w:rsidRPr="007003C4">
        <w:rPr>
          <w:color w:val="auto"/>
        </w:rPr>
        <w:t>RT</w:t>
      </w:r>
      <w:r w:rsidRPr="007003C4">
        <w:rPr>
          <w:color w:val="auto"/>
        </w:rPr>
        <w:t xml:space="preserve">icle 3C. Certification of Electrical Inspectors. </w:t>
      </w:r>
    </w:p>
    <w:p w14:paraId="2A382AED" w14:textId="77777777" w:rsidR="00610482" w:rsidRPr="007003C4" w:rsidRDefault="00610482" w:rsidP="00610482">
      <w:pPr>
        <w:pStyle w:val="SectionHeading"/>
        <w:rPr>
          <w:color w:val="auto"/>
        </w:rPr>
      </w:pPr>
      <w:r w:rsidRPr="007003C4">
        <w:rPr>
          <w:color w:val="auto"/>
        </w:rPr>
        <w:t>§29-3C-4. Certification program; duties of the State Fire Marshal; rulemaking.</w:t>
      </w:r>
    </w:p>
    <w:p w14:paraId="47D3899C" w14:textId="77777777" w:rsidR="00610482" w:rsidRPr="007003C4" w:rsidRDefault="00610482" w:rsidP="00610482">
      <w:pPr>
        <w:widowControl w:val="0"/>
        <w:ind w:firstLine="720"/>
        <w:jc w:val="both"/>
        <w:rPr>
          <w:rFonts w:eastAsia="Calibri" w:cs="Times New Roman"/>
          <w:color w:val="auto"/>
        </w:rPr>
        <w:sectPr w:rsidR="00610482" w:rsidRPr="007003C4" w:rsidSect="00610482">
          <w:type w:val="continuous"/>
          <w:pgSz w:w="12240" w:h="15840"/>
          <w:pgMar w:top="1440" w:right="1440" w:bottom="1440" w:left="1440" w:header="720" w:footer="720" w:gutter="0"/>
          <w:cols w:space="720"/>
          <w:docGrid w:linePitch="360"/>
        </w:sectPr>
      </w:pPr>
    </w:p>
    <w:p w14:paraId="1952F267" w14:textId="3DF1FAB7" w:rsidR="00610482" w:rsidRPr="007003C4" w:rsidRDefault="00610482" w:rsidP="00610482">
      <w:pPr>
        <w:pStyle w:val="SectionBody"/>
        <w:rPr>
          <w:color w:val="auto"/>
        </w:rPr>
      </w:pPr>
      <w:r w:rsidRPr="007003C4">
        <w:rPr>
          <w:color w:val="auto"/>
        </w:rPr>
        <w:t xml:space="preserve">(a) The State Fire Marshal shall propose rules for legislative approval in accordance with the provisions of §29A-3-1 </w:t>
      </w:r>
      <w:r w:rsidRPr="007003C4">
        <w:rPr>
          <w:i/>
          <w:iCs/>
          <w:color w:val="auto"/>
        </w:rPr>
        <w:t>et seq.</w:t>
      </w:r>
      <w:r w:rsidRPr="007003C4">
        <w:rPr>
          <w:color w:val="auto"/>
        </w:rPr>
        <w:t xml:space="preserve"> of this code to establish a program for the certification of electrical inspectors. Proposed rules shall provide: Standards and procedures for certification, including applications, examinations, fees, qualifications, procedures for investigating complaints, revoking or suspending certifications and for renewing licenses. The State Fire Marshal is also authorized to propose emergency rules to implement the provisions of this article: </w:t>
      </w:r>
      <w:r w:rsidRPr="007003C4">
        <w:rPr>
          <w:i/>
          <w:iCs/>
          <w:color w:val="auto"/>
        </w:rPr>
        <w:t>Provided,</w:t>
      </w:r>
      <w:r w:rsidRPr="007003C4">
        <w:rPr>
          <w:color w:val="auto"/>
        </w:rPr>
        <w:t xml:space="preserve"> That the emergency rules specify an initial certification fee of $50.</w:t>
      </w:r>
    </w:p>
    <w:p w14:paraId="1E2A0CE5" w14:textId="77777777" w:rsidR="00610482" w:rsidRPr="007003C4" w:rsidRDefault="00610482" w:rsidP="00610482">
      <w:pPr>
        <w:pStyle w:val="SectionBody"/>
        <w:rPr>
          <w:color w:val="auto"/>
        </w:rPr>
      </w:pPr>
      <w:r w:rsidRPr="007003C4">
        <w:rPr>
          <w:color w:val="auto"/>
        </w:rPr>
        <w:t>(b) The State Fire Marshal shall certify an electrical inspector upon a finding that the applicant possesses the requisite qualifications.</w:t>
      </w:r>
    </w:p>
    <w:p w14:paraId="4E3D7EDD" w14:textId="23D6DB5C" w:rsidR="00610482" w:rsidRPr="007003C4" w:rsidRDefault="00610482" w:rsidP="00610482">
      <w:pPr>
        <w:pStyle w:val="SectionBody"/>
        <w:rPr>
          <w:color w:val="auto"/>
        </w:rPr>
      </w:pPr>
      <w:r w:rsidRPr="007003C4">
        <w:rPr>
          <w:color w:val="auto"/>
        </w:rPr>
        <w:t xml:space="preserve">(c) When considering whether an applicant </w:t>
      </w:r>
      <w:r w:rsidRPr="007003C4">
        <w:rPr>
          <w:strike/>
          <w:color w:val="auto"/>
        </w:rPr>
        <w:t>possess</w:t>
      </w:r>
      <w:r w:rsidRPr="007003C4">
        <w:rPr>
          <w:color w:val="auto"/>
        </w:rPr>
        <w:t xml:space="preserve"> </w:t>
      </w:r>
      <w:r w:rsidRPr="007003C4">
        <w:rPr>
          <w:color w:val="auto"/>
          <w:u w:val="single"/>
        </w:rPr>
        <w:t>possesses</w:t>
      </w:r>
      <w:r w:rsidRPr="007003C4">
        <w:rPr>
          <w:color w:val="auto"/>
        </w:rPr>
        <w:t xml:space="preserve"> the qualifications for certification as an electrical inspector, the State Fire Marshal shall consider whether an applicant’s prior criminal convictions bear a rational nexus on the certification being sought. </w:t>
      </w:r>
    </w:p>
    <w:p w14:paraId="2838BDAD" w14:textId="77777777" w:rsidR="00610482" w:rsidRPr="007003C4" w:rsidRDefault="00610482" w:rsidP="00610482">
      <w:pPr>
        <w:pStyle w:val="SectionBody"/>
        <w:rPr>
          <w:color w:val="auto"/>
        </w:rPr>
      </w:pPr>
      <w:r w:rsidRPr="007003C4">
        <w:rPr>
          <w:color w:val="auto"/>
        </w:rPr>
        <w:t>(1) The State Fire Marshal may not disqualify an applicant from initial certification because of a prior criminal conviction that remains unreversed unless that conviction is for a crime that bears a rational nexus to the activity requiring certification. In determining whether a criminal conviction bears a rational nexus to a profession or occupation, the State Fire Marshal shall consider at a minimum:</w:t>
      </w:r>
    </w:p>
    <w:p w14:paraId="23D16413" w14:textId="77777777" w:rsidR="00610482" w:rsidRPr="007003C4" w:rsidRDefault="00610482" w:rsidP="00610482">
      <w:pPr>
        <w:pStyle w:val="SectionBody"/>
        <w:rPr>
          <w:color w:val="auto"/>
        </w:rPr>
      </w:pPr>
      <w:r w:rsidRPr="007003C4">
        <w:rPr>
          <w:color w:val="auto"/>
        </w:rPr>
        <w:t xml:space="preserve">(A) The nature and seriousness of the crime for which the individual was convicted; </w:t>
      </w:r>
    </w:p>
    <w:p w14:paraId="32F8F8A8" w14:textId="77777777" w:rsidR="00610482" w:rsidRPr="007003C4" w:rsidRDefault="00610482" w:rsidP="00610482">
      <w:pPr>
        <w:pStyle w:val="SectionBody"/>
        <w:rPr>
          <w:color w:val="auto"/>
        </w:rPr>
      </w:pPr>
      <w:r w:rsidRPr="007003C4">
        <w:rPr>
          <w:color w:val="auto"/>
        </w:rPr>
        <w:t xml:space="preserve">(B) The passage of time since the commission of the crime; </w:t>
      </w:r>
    </w:p>
    <w:p w14:paraId="14681103" w14:textId="77777777" w:rsidR="00610482" w:rsidRPr="007003C4" w:rsidRDefault="00610482" w:rsidP="00610482">
      <w:pPr>
        <w:pStyle w:val="SectionBody"/>
        <w:rPr>
          <w:color w:val="auto"/>
        </w:rPr>
      </w:pPr>
      <w:r w:rsidRPr="007003C4">
        <w:rPr>
          <w:color w:val="auto"/>
        </w:rPr>
        <w:t xml:space="preserve">(C) The relationship of the crime to the ability, capacity, and fitness required to perform the duties and discharge the responsibilities of the profession or occupation; and </w:t>
      </w:r>
    </w:p>
    <w:p w14:paraId="77615A9B" w14:textId="77777777" w:rsidR="00610482" w:rsidRPr="007003C4" w:rsidRDefault="00610482" w:rsidP="00610482">
      <w:pPr>
        <w:pStyle w:val="SectionBody"/>
        <w:rPr>
          <w:color w:val="auto"/>
        </w:rPr>
      </w:pPr>
      <w:r w:rsidRPr="007003C4">
        <w:rPr>
          <w:color w:val="auto"/>
        </w:rPr>
        <w:lastRenderedPageBreak/>
        <w:t xml:space="preserve">(D) Any evidence of rehabilitation or treatment undertaken by the individual.  </w:t>
      </w:r>
    </w:p>
    <w:p w14:paraId="6CDDE730" w14:textId="77777777" w:rsidR="00610482" w:rsidRPr="007003C4" w:rsidRDefault="00610482" w:rsidP="00610482">
      <w:pPr>
        <w:pStyle w:val="SectionBody"/>
        <w:rPr>
          <w:color w:val="auto"/>
        </w:rPr>
      </w:pPr>
      <w:r w:rsidRPr="007003C4">
        <w:rPr>
          <w:color w:val="auto"/>
        </w:rPr>
        <w:t>(2) Notwithstanding any other provision of this code to the contrary, if an applicant is disqualified from certification because of a prior criminal conviction, the State Fire Marshal shall permit the applicant to apply for initial certification if:</w:t>
      </w:r>
    </w:p>
    <w:p w14:paraId="17FB1872" w14:textId="77777777" w:rsidR="00610482" w:rsidRPr="007003C4" w:rsidRDefault="00610482" w:rsidP="00610482">
      <w:pPr>
        <w:pStyle w:val="SectionBody"/>
        <w:rPr>
          <w:color w:val="auto"/>
        </w:rPr>
      </w:pPr>
      <w:r w:rsidRPr="007003C4">
        <w:rPr>
          <w:color w:val="auto"/>
        </w:rPr>
        <w:t xml:space="preserve">(A) A period of five years has elapsed from the date of conviction or the date of release from incarceration, whichever is later; </w:t>
      </w:r>
    </w:p>
    <w:p w14:paraId="16E59892" w14:textId="77777777" w:rsidR="00610482" w:rsidRPr="007003C4" w:rsidRDefault="00610482" w:rsidP="00610482">
      <w:pPr>
        <w:pStyle w:val="SectionBody"/>
        <w:rPr>
          <w:color w:val="auto"/>
        </w:rPr>
      </w:pPr>
      <w:r w:rsidRPr="007003C4">
        <w:rPr>
          <w:color w:val="auto"/>
        </w:rPr>
        <w:t xml:space="preserve">(B) The individual has not been convicted of any other crime during the period of time following the disqualifying offense; and </w:t>
      </w:r>
    </w:p>
    <w:p w14:paraId="011AD3A3" w14:textId="77777777" w:rsidR="00610482" w:rsidRPr="007003C4" w:rsidRDefault="00610482" w:rsidP="00610482">
      <w:pPr>
        <w:pStyle w:val="SectionBody"/>
        <w:rPr>
          <w:color w:val="auto"/>
        </w:rPr>
      </w:pPr>
      <w:r w:rsidRPr="007003C4">
        <w:rPr>
          <w:color w:val="auto"/>
        </w:rPr>
        <w:t xml:space="preserve">(C) The conviction was not for an offense of a violent or sexual nature: </w:t>
      </w:r>
      <w:r w:rsidRPr="007003C4">
        <w:rPr>
          <w:i/>
          <w:color w:val="auto"/>
        </w:rPr>
        <w:t>Provided</w:t>
      </w:r>
      <w:r w:rsidRPr="007003C4">
        <w:rPr>
          <w:color w:val="auto"/>
        </w:rPr>
        <w:t>, That a conviction for an offense of a violent or sexual nature may subject an individual to a longer period of disqualification from certification, to be determined by the State Fire Marshal.</w:t>
      </w:r>
    </w:p>
    <w:p w14:paraId="7D35C956" w14:textId="77777777" w:rsidR="00610482" w:rsidRPr="007003C4" w:rsidRDefault="00610482" w:rsidP="00610482">
      <w:pPr>
        <w:pStyle w:val="SectionBody"/>
        <w:rPr>
          <w:color w:val="auto"/>
        </w:rPr>
      </w:pPr>
      <w:r w:rsidRPr="007003C4">
        <w:rPr>
          <w:color w:val="auto"/>
        </w:rPr>
        <w:t>(3) An individual with a criminal record who has not previously applied for certification may petition the State Fire Marshal at any time for a determination of whether the individual’s criminal record will disqualify the individual from obtaining a certification. This petition shall include sufficient details about the individual’s criminal record to enable the State Fire Marshal to identify the jurisdiction where the conviction occurred, the date of the conviction, and the specific nature of the conviction.</w:t>
      </w:r>
    </w:p>
    <w:p w14:paraId="2D33D4E5" w14:textId="77777777" w:rsidR="00DB1649" w:rsidRPr="007003C4" w:rsidRDefault="00DB1649" w:rsidP="002B6CA8">
      <w:pPr>
        <w:pStyle w:val="ArticleHeading"/>
        <w:rPr>
          <w:color w:val="auto"/>
        </w:rPr>
      </w:pPr>
      <w:r w:rsidRPr="007003C4">
        <w:rPr>
          <w:color w:val="auto"/>
        </w:rPr>
        <w:t xml:space="preserve">Article 3D. Supervision of Fire Protection Work. </w:t>
      </w:r>
    </w:p>
    <w:p w14:paraId="725B460B" w14:textId="77777777" w:rsidR="002B6CA8" w:rsidRPr="007003C4" w:rsidRDefault="002B6CA8" w:rsidP="002B6CA8">
      <w:pPr>
        <w:pStyle w:val="SectionHeading"/>
        <w:rPr>
          <w:color w:val="auto"/>
        </w:rPr>
      </w:pPr>
      <w:r w:rsidRPr="007003C4">
        <w:rPr>
          <w:color w:val="auto"/>
        </w:rPr>
        <w:t>§29-3D-6. Denial, suspension and revocation of license.</w:t>
      </w:r>
    </w:p>
    <w:p w14:paraId="329B18EC" w14:textId="77777777" w:rsidR="002B6CA8" w:rsidRPr="007003C4" w:rsidRDefault="002B6CA8" w:rsidP="002B6CA8">
      <w:pPr>
        <w:widowControl w:val="0"/>
        <w:ind w:firstLine="720"/>
        <w:jc w:val="both"/>
        <w:rPr>
          <w:rFonts w:eastAsia="Calibri" w:cs="Times New Roman"/>
          <w:color w:val="auto"/>
        </w:rPr>
        <w:sectPr w:rsidR="002B6CA8" w:rsidRPr="007003C4" w:rsidSect="002B6CA8">
          <w:type w:val="continuous"/>
          <w:pgSz w:w="12240" w:h="15840"/>
          <w:pgMar w:top="1440" w:right="1440" w:bottom="1440" w:left="1440" w:header="720" w:footer="720" w:gutter="0"/>
          <w:cols w:space="720"/>
          <w:docGrid w:linePitch="360"/>
        </w:sectPr>
      </w:pPr>
    </w:p>
    <w:p w14:paraId="0317D235" w14:textId="35453D41"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 xml:space="preserve">(a) The State Fire Marshal may deny a license to any applicant who fails to comply with the rules established by the State Fire Marshal, or who lacks the necessary qualifications. When considering whether an applicant </w:t>
      </w:r>
      <w:r w:rsidRPr="007003C4">
        <w:rPr>
          <w:rFonts w:eastAsia="Calibri" w:cs="Times New Roman"/>
          <w:strike/>
          <w:color w:val="auto"/>
        </w:rPr>
        <w:t>possess</w:t>
      </w:r>
      <w:r w:rsidRPr="007003C4">
        <w:rPr>
          <w:rFonts w:eastAsia="Calibri" w:cs="Times New Roman"/>
          <w:color w:val="auto"/>
        </w:rPr>
        <w:t xml:space="preserve"> </w:t>
      </w:r>
      <w:r w:rsidRPr="007003C4">
        <w:rPr>
          <w:rFonts w:eastAsia="Calibri" w:cs="Times New Roman"/>
          <w:color w:val="auto"/>
          <w:u w:val="single"/>
        </w:rPr>
        <w:t>possesses</w:t>
      </w:r>
      <w:r w:rsidRPr="007003C4">
        <w:rPr>
          <w:rFonts w:eastAsia="Calibri" w:cs="Times New Roman"/>
          <w:color w:val="auto"/>
        </w:rPr>
        <w:t xml:space="preserve"> the qualifications for a license, the State Fire Marshal shall consider whether an applicant’s prior criminal convictions bear a rational nexus on the license being sought. </w:t>
      </w:r>
    </w:p>
    <w:p w14:paraId="43E7DEC5"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 xml:space="preserve">(1) The State Fire Marshal may not disqualify an applicant from initial licensure because of a prior criminal conviction that remains unreversed unless that conviction is for a crime that </w:t>
      </w:r>
      <w:r w:rsidRPr="007003C4">
        <w:rPr>
          <w:rFonts w:eastAsia="Calibri" w:cs="Times New Roman"/>
          <w:color w:val="auto"/>
        </w:rPr>
        <w:lastRenderedPageBreak/>
        <w:t>bears a rational nexus to the activity requiring licensure. In determining whether a criminal conviction bears a rational nexus to a profession or occupation, the State Fire Marshal shall consider at a minimum:</w:t>
      </w:r>
    </w:p>
    <w:p w14:paraId="315A0928"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 xml:space="preserve">(A) The nature and seriousness of the crime for which the individual was convicted; </w:t>
      </w:r>
    </w:p>
    <w:p w14:paraId="661E08FD"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 xml:space="preserve">(B) The passage of time since the commission of the crime; </w:t>
      </w:r>
    </w:p>
    <w:p w14:paraId="294BBA5D"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 xml:space="preserve">(C) The relationship of the crime to the ability, capacity, and fitness required to perform the duties and discharge the responsibilities of the profession or occupation; and </w:t>
      </w:r>
    </w:p>
    <w:p w14:paraId="59393D34"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 xml:space="preserve">(D) Any evidence of rehabilitation or treatment undertaken by the individual.  </w:t>
      </w:r>
    </w:p>
    <w:p w14:paraId="03EDCF4F"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5536ADE3" w14:textId="1C056278"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 xml:space="preserve">(A) A period of five years has elapsed from the date of conviction or the date of release from </w:t>
      </w:r>
      <w:r w:rsidRPr="007003C4">
        <w:rPr>
          <w:rFonts w:eastAsia="Calibri" w:cs="Times New Roman"/>
          <w:strike/>
          <w:color w:val="auto"/>
        </w:rPr>
        <w:t>incarceration</w:t>
      </w:r>
      <w:r w:rsidRPr="007003C4">
        <w:rPr>
          <w:rFonts w:eastAsia="Calibri" w:cs="Times New Roman"/>
          <w:color w:val="auto"/>
        </w:rPr>
        <w:t xml:space="preserve"> </w:t>
      </w:r>
      <w:r w:rsidRPr="007003C4">
        <w:rPr>
          <w:rFonts w:eastAsia="Calibri" w:cs="Times New Roman"/>
          <w:color w:val="auto"/>
          <w:u w:val="single"/>
        </w:rPr>
        <w:t>confinement</w:t>
      </w:r>
      <w:r w:rsidRPr="007003C4">
        <w:rPr>
          <w:rFonts w:eastAsia="Calibri" w:cs="Times New Roman"/>
          <w:color w:val="auto"/>
        </w:rPr>
        <w:t xml:space="preserve">, whichever is later; </w:t>
      </w:r>
    </w:p>
    <w:p w14:paraId="2DB9D367"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 xml:space="preserve">(B) The individual has not been convicted of any other crime during the period of time following the disqualifying offense; and </w:t>
      </w:r>
    </w:p>
    <w:p w14:paraId="4CEFEC83"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 xml:space="preserve">(C) The conviction was not for an offense of a violent or sexual nature: </w:t>
      </w:r>
      <w:r w:rsidRPr="007003C4">
        <w:rPr>
          <w:rFonts w:eastAsia="Calibri" w:cs="Times New Roman"/>
          <w:i/>
          <w:color w:val="auto"/>
        </w:rPr>
        <w:t>Provided</w:t>
      </w:r>
      <w:r w:rsidRPr="007003C4">
        <w:rPr>
          <w:rFonts w:eastAsia="Calibri" w:cs="Times New Roman"/>
          <w:color w:val="auto"/>
        </w:rPr>
        <w:t>, That a conviction for an offense of a violent or sexual nature may subject an individual to a longer period of disqualification from licensure, to be determined by the State Fire Marshal.</w:t>
      </w:r>
    </w:p>
    <w:p w14:paraId="2B512C1E"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(3) An individual with a criminal record who has not previously applied for licensure may petition the State Fire Marshal at any time for a determination of whether the individual’s criminal record will disqualify the individual from obtaining a license. This petition shall include sufficient details about the individual’s criminal record to enable the State Fire Marshal to identify the jurisdiction where the conviction occurred, the date of the conviction, and the specific nature of the conviction.</w:t>
      </w:r>
    </w:p>
    <w:p w14:paraId="64163C29"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(b) The State Fire Marshal may, upon complaint or upon his or her own inquiry, and after notice to the licensee, suspend or revoke a licensee’s license if:</w:t>
      </w:r>
    </w:p>
    <w:p w14:paraId="440ED2C0"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lastRenderedPageBreak/>
        <w:t>(1) The license was granted upon an application or documents supporting the application which materially misstated the terms of the applicant’s qualifications or experience;</w:t>
      </w:r>
    </w:p>
    <w:p w14:paraId="07B7F222"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(2) The licensee subscribed or vouched for a material misstatement in his or her application for licensure; or</w:t>
      </w:r>
    </w:p>
    <w:p w14:paraId="36D0C8C9" w14:textId="77777777" w:rsidR="002B6CA8" w:rsidRPr="007003C4" w:rsidRDefault="002B6CA8" w:rsidP="002B6CA8">
      <w:pPr>
        <w:widowControl w:val="0"/>
        <w:ind w:firstLine="720"/>
        <w:jc w:val="both"/>
        <w:rPr>
          <w:rFonts w:eastAsia="Calibri" w:cs="Times New Roman"/>
          <w:color w:val="auto"/>
        </w:rPr>
      </w:pPr>
      <w:r w:rsidRPr="007003C4">
        <w:rPr>
          <w:rFonts w:eastAsia="Calibri" w:cs="Times New Roman"/>
          <w:color w:val="auto"/>
        </w:rPr>
        <w:t>(3) The licensee incompetently or unsafely performs plumbing, fire protection work or damper work.</w:t>
      </w:r>
    </w:p>
    <w:p w14:paraId="0D553D71" w14:textId="77777777" w:rsidR="00DB1649" w:rsidRPr="007003C4" w:rsidRDefault="00DB1649" w:rsidP="00DB1649">
      <w:pPr>
        <w:pStyle w:val="Note"/>
        <w:ind w:left="0"/>
        <w:rPr>
          <w:color w:val="auto"/>
        </w:rPr>
      </w:pPr>
    </w:p>
    <w:p w14:paraId="1A22DAF7" w14:textId="18820477" w:rsidR="00DB1649" w:rsidRPr="007003C4" w:rsidRDefault="00DB1649" w:rsidP="00DB1649">
      <w:pPr>
        <w:pStyle w:val="Note"/>
        <w:rPr>
          <w:color w:val="auto"/>
        </w:rPr>
      </w:pPr>
      <w:r w:rsidRPr="007003C4">
        <w:rPr>
          <w:color w:val="auto"/>
        </w:rPr>
        <w:t>NOTE: The purpose of this bill is to</w:t>
      </w:r>
      <w:r w:rsidR="00E036FA" w:rsidRPr="007003C4">
        <w:rPr>
          <w:color w:val="auto"/>
        </w:rPr>
        <w:t xml:space="preserve"> make technical corrections to certain licensure qualifications.</w:t>
      </w:r>
      <w:r w:rsidRPr="007003C4">
        <w:rPr>
          <w:color w:val="auto"/>
        </w:rPr>
        <w:t xml:space="preserve"> </w:t>
      </w:r>
    </w:p>
    <w:p w14:paraId="4636F113" w14:textId="574F13A1" w:rsidR="00DB1649" w:rsidRPr="007003C4" w:rsidRDefault="00DB1649" w:rsidP="00DB1649">
      <w:pPr>
        <w:pStyle w:val="Note"/>
        <w:rPr>
          <w:color w:val="auto"/>
        </w:rPr>
      </w:pPr>
      <w:r w:rsidRPr="007003C4">
        <w:rPr>
          <w:color w:val="auto"/>
        </w:rPr>
        <w:t>Strike-throughs indicate language that would be stricken from a heading or the present law</w:t>
      </w:r>
      <w:r w:rsidR="00CD4376" w:rsidRPr="007003C4">
        <w:rPr>
          <w:color w:val="auto"/>
        </w:rPr>
        <w:t>,</w:t>
      </w:r>
      <w:r w:rsidRPr="007003C4">
        <w:rPr>
          <w:color w:val="auto"/>
        </w:rPr>
        <w:t xml:space="preserve"> and underscoring indicates new language that would be added.</w:t>
      </w:r>
    </w:p>
    <w:sectPr w:rsidR="00DB1649" w:rsidRPr="007003C4" w:rsidSect="004E3C8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808E" w14:textId="77777777" w:rsidR="005A3DAE" w:rsidRPr="00B844FE" w:rsidRDefault="005A3DAE" w:rsidP="00B844FE">
      <w:r>
        <w:separator/>
      </w:r>
    </w:p>
  </w:endnote>
  <w:endnote w:type="continuationSeparator" w:id="0">
    <w:p w14:paraId="0452EED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067482"/>
      <w:docPartObj>
        <w:docPartGallery w:val="Page Numbers (Bottom of Page)"/>
        <w:docPartUnique/>
      </w:docPartObj>
    </w:sdtPr>
    <w:sdtEndPr/>
    <w:sdtContent>
      <w:p w14:paraId="69821243" w14:textId="77777777" w:rsidR="00DB1649" w:rsidRPr="00B844FE" w:rsidRDefault="00DB164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037B5E" w14:textId="77777777" w:rsidR="00DB1649" w:rsidRDefault="00DB164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025311"/>
      <w:docPartObj>
        <w:docPartGallery w:val="Page Numbers (Bottom of Page)"/>
        <w:docPartUnique/>
      </w:docPartObj>
    </w:sdtPr>
    <w:sdtEndPr>
      <w:rPr>
        <w:noProof/>
      </w:rPr>
    </w:sdtEndPr>
    <w:sdtContent>
      <w:p w14:paraId="7998D1BF" w14:textId="77777777" w:rsidR="00DB1649" w:rsidRDefault="00DB164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1908E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B82D4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9C519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2E715" w14:textId="77777777" w:rsidR="005A3DAE" w:rsidRPr="00B844FE" w:rsidRDefault="005A3DAE" w:rsidP="00B844FE">
      <w:r>
        <w:separator/>
      </w:r>
    </w:p>
  </w:footnote>
  <w:footnote w:type="continuationSeparator" w:id="0">
    <w:p w14:paraId="3C736EE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D83F" w14:textId="77777777" w:rsidR="00DB1649" w:rsidRPr="00B844FE" w:rsidRDefault="00F53C01">
    <w:pPr>
      <w:pStyle w:val="Header"/>
    </w:pPr>
    <w:sdt>
      <w:sdtPr>
        <w:id w:val="-2028777255"/>
        <w:placeholder>
          <w:docPart w:val="543F7F9FAEAE4ECD8FBE26096A4517D4"/>
        </w:placeholder>
        <w:temporary/>
        <w:showingPlcHdr/>
        <w15:appearance w15:val="hidden"/>
      </w:sdtPr>
      <w:sdtEndPr/>
      <w:sdtContent>
        <w:r w:rsidR="00DB1649" w:rsidRPr="00B844FE">
          <w:t>[Type here]</w:t>
        </w:r>
      </w:sdtContent>
    </w:sdt>
    <w:r w:rsidR="00DB1649" w:rsidRPr="00B844FE">
      <w:ptab w:relativeTo="margin" w:alignment="left" w:leader="none"/>
    </w:r>
    <w:sdt>
      <w:sdtPr>
        <w:id w:val="-131484457"/>
        <w:placeholder>
          <w:docPart w:val="543F7F9FAEAE4ECD8FBE26096A4517D4"/>
        </w:placeholder>
        <w:temporary/>
        <w:showingPlcHdr/>
        <w15:appearance w15:val="hidden"/>
      </w:sdtPr>
      <w:sdtEndPr/>
      <w:sdtContent>
        <w:r w:rsidR="00DB164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0B3F" w14:textId="61A596D3" w:rsidR="00DB1649" w:rsidRPr="00C33014" w:rsidRDefault="00DB1649" w:rsidP="000573A9">
    <w:pPr>
      <w:pStyle w:val="HeaderStyle"/>
    </w:pPr>
    <w:proofErr w:type="spellStart"/>
    <w:r>
      <w:t>Intr</w:t>
    </w:r>
    <w:proofErr w:type="spellEnd"/>
    <w:r>
      <w:t xml:space="preserve"> </w:t>
    </w:r>
    <w:sdt>
      <w:sdtPr>
        <w:tag w:val="BNumWH"/>
        <w:id w:val="158195378"/>
        <w:placeholder>
          <w:docPart w:val="02544B3B422946428C69508E2652D0F7"/>
        </w:placeholder>
        <w:text/>
      </w:sdtPr>
      <w:sdtEndPr/>
      <w:sdtContent>
        <w:r>
          <w:t>HB</w:t>
        </w:r>
      </w:sdtContent>
    </w:sdt>
    <w:r>
      <w:t xml:space="preserve"> </w:t>
    </w:r>
    <w:r w:rsidRPr="002A0269">
      <w:ptab w:relativeTo="margin" w:alignment="center" w:leader="none"/>
    </w:r>
    <w:r>
      <w:tab/>
    </w:r>
    <w:sdt>
      <w:sdtPr>
        <w:alias w:val="CBD Number"/>
        <w:tag w:val="CBD Number"/>
        <w:id w:val="-1404434497"/>
        <w:text/>
      </w:sdtPr>
      <w:sdtEndPr/>
      <w:sdtContent>
        <w:r>
          <w:t>2021R1740</w:t>
        </w:r>
      </w:sdtContent>
    </w:sdt>
  </w:p>
  <w:p w14:paraId="4DC137AB" w14:textId="77777777" w:rsidR="00DB1649" w:rsidRPr="00C33014" w:rsidRDefault="00DB164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D532" w14:textId="4DDF01EE" w:rsidR="00DB1649" w:rsidRPr="002A0269" w:rsidRDefault="00F53C01" w:rsidP="00CC1F3B">
    <w:pPr>
      <w:pStyle w:val="HeaderStyle"/>
    </w:pPr>
    <w:sdt>
      <w:sdtPr>
        <w:tag w:val="BNumWH"/>
        <w:id w:val="849840057"/>
        <w:placeholder>
          <w:docPart w:val="1DB0E70972C44DEF879B3F8D0E5DA5D6"/>
        </w:placeholder>
        <w:showingPlcHdr/>
        <w:text/>
      </w:sdtPr>
      <w:sdtEndPr/>
      <w:sdtContent/>
    </w:sdt>
    <w:r w:rsidR="00DB1649">
      <w:t xml:space="preserve"> </w:t>
    </w:r>
    <w:r w:rsidR="00DB1649" w:rsidRPr="002A0269">
      <w:ptab w:relativeTo="margin" w:alignment="center" w:leader="none"/>
    </w:r>
    <w:r w:rsidR="00DB1649">
      <w:tab/>
    </w:r>
    <w:sdt>
      <w:sdtPr>
        <w:alias w:val="CBD Number"/>
        <w:tag w:val="CBD Number"/>
        <w:id w:val="255028200"/>
        <w:text/>
      </w:sdtPr>
      <w:sdtEndPr/>
      <w:sdtContent>
        <w:r w:rsidR="00DB1649">
          <w:t>2021R1740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57E4" w14:textId="77777777" w:rsidR="002A0269" w:rsidRPr="00B844FE" w:rsidRDefault="00F53C0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C6E5" w14:textId="5501F1B3" w:rsidR="00C33014" w:rsidRPr="00C33014" w:rsidRDefault="00AE48A0" w:rsidP="000573A9">
    <w:pPr>
      <w:pStyle w:val="HeaderStyle"/>
    </w:pPr>
    <w:proofErr w:type="spellStart"/>
    <w:r>
      <w:t>I</w:t>
    </w:r>
    <w:r w:rsidR="001A66B7">
      <w:t>ntr</w:t>
    </w:r>
    <w:proofErr w:type="spellEnd"/>
    <w:r w:rsidR="00DB1649">
      <w:t xml:space="preserve"> HB</w:t>
    </w:r>
    <w:r w:rsidR="001A66B7">
      <w:t xml:space="preserve"> </w:t>
    </w:r>
    <w:sdt>
      <w:sdtPr>
        <w:tag w:val="BNumWH"/>
        <w:id w:val="138549797"/>
        <w:placeholder>
          <w:docPart w:val="02544B3B422946428C69508E2652D0F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B1649">
          <w:t>2021R1740</w:t>
        </w:r>
      </w:sdtContent>
    </w:sdt>
  </w:p>
  <w:p w14:paraId="61DD407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D7C6" w14:textId="77777777" w:rsidR="002A0269" w:rsidRPr="002A0269" w:rsidRDefault="00F53C01" w:rsidP="00CC1F3B">
    <w:pPr>
      <w:pStyle w:val="HeaderStyle"/>
    </w:pPr>
    <w:sdt>
      <w:sdtPr>
        <w:tag w:val="BNumWH"/>
        <w:id w:val="-1890952866"/>
        <w:placeholder>
          <w:docPart w:val="1DB0E70972C44DEF879B3F8D0E5DA5D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42C9E"/>
    <w:rsid w:val="00146348"/>
    <w:rsid w:val="0015112E"/>
    <w:rsid w:val="001552E7"/>
    <w:rsid w:val="001566B4"/>
    <w:rsid w:val="001A66B7"/>
    <w:rsid w:val="001C279E"/>
    <w:rsid w:val="001D459E"/>
    <w:rsid w:val="0027011C"/>
    <w:rsid w:val="00274200"/>
    <w:rsid w:val="00275740"/>
    <w:rsid w:val="002A0269"/>
    <w:rsid w:val="002B6CA8"/>
    <w:rsid w:val="002C7616"/>
    <w:rsid w:val="00303684"/>
    <w:rsid w:val="003143F5"/>
    <w:rsid w:val="00314854"/>
    <w:rsid w:val="0037450D"/>
    <w:rsid w:val="00394191"/>
    <w:rsid w:val="003C51CD"/>
    <w:rsid w:val="004368E0"/>
    <w:rsid w:val="00457F4C"/>
    <w:rsid w:val="004C13DD"/>
    <w:rsid w:val="004D36C4"/>
    <w:rsid w:val="004E3441"/>
    <w:rsid w:val="004E3C80"/>
    <w:rsid w:val="00500579"/>
    <w:rsid w:val="00577A81"/>
    <w:rsid w:val="005A3DAE"/>
    <w:rsid w:val="005A5366"/>
    <w:rsid w:val="00610482"/>
    <w:rsid w:val="006369EB"/>
    <w:rsid w:val="00637E73"/>
    <w:rsid w:val="006865E9"/>
    <w:rsid w:val="00691F3E"/>
    <w:rsid w:val="00694BFB"/>
    <w:rsid w:val="006A106B"/>
    <w:rsid w:val="006C523D"/>
    <w:rsid w:val="006C5D2E"/>
    <w:rsid w:val="006D4036"/>
    <w:rsid w:val="007003C4"/>
    <w:rsid w:val="007A29EC"/>
    <w:rsid w:val="007A5259"/>
    <w:rsid w:val="007A7081"/>
    <w:rsid w:val="007F1CF5"/>
    <w:rsid w:val="00834EDE"/>
    <w:rsid w:val="008736AA"/>
    <w:rsid w:val="008D275D"/>
    <w:rsid w:val="008D6106"/>
    <w:rsid w:val="00945123"/>
    <w:rsid w:val="00980327"/>
    <w:rsid w:val="00986478"/>
    <w:rsid w:val="009B4FDB"/>
    <w:rsid w:val="009B5557"/>
    <w:rsid w:val="009F1067"/>
    <w:rsid w:val="00A31E01"/>
    <w:rsid w:val="00A527AD"/>
    <w:rsid w:val="00A718CF"/>
    <w:rsid w:val="00AE48A0"/>
    <w:rsid w:val="00AE61BE"/>
    <w:rsid w:val="00B16F25"/>
    <w:rsid w:val="00B24422"/>
    <w:rsid w:val="00B66B81"/>
    <w:rsid w:val="00B80C20"/>
    <w:rsid w:val="00B844FE"/>
    <w:rsid w:val="00B86B4F"/>
    <w:rsid w:val="00B91448"/>
    <w:rsid w:val="00BA1F84"/>
    <w:rsid w:val="00BC562B"/>
    <w:rsid w:val="00C33014"/>
    <w:rsid w:val="00C33434"/>
    <w:rsid w:val="00C34869"/>
    <w:rsid w:val="00C42EB6"/>
    <w:rsid w:val="00C85096"/>
    <w:rsid w:val="00CB1ADC"/>
    <w:rsid w:val="00CB20EF"/>
    <w:rsid w:val="00CC1F3B"/>
    <w:rsid w:val="00CD12CB"/>
    <w:rsid w:val="00CD36CF"/>
    <w:rsid w:val="00CD4376"/>
    <w:rsid w:val="00CF1DCA"/>
    <w:rsid w:val="00D579FC"/>
    <w:rsid w:val="00D81C16"/>
    <w:rsid w:val="00DB1649"/>
    <w:rsid w:val="00DD2824"/>
    <w:rsid w:val="00DE2372"/>
    <w:rsid w:val="00DE526B"/>
    <w:rsid w:val="00DF199D"/>
    <w:rsid w:val="00E01542"/>
    <w:rsid w:val="00E036FA"/>
    <w:rsid w:val="00E365F1"/>
    <w:rsid w:val="00E62F48"/>
    <w:rsid w:val="00E831B3"/>
    <w:rsid w:val="00E95FBC"/>
    <w:rsid w:val="00EB251D"/>
    <w:rsid w:val="00EE70CB"/>
    <w:rsid w:val="00F41CA2"/>
    <w:rsid w:val="00F443C0"/>
    <w:rsid w:val="00F53C0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395E15"/>
  <w15:chartTrackingRefBased/>
  <w15:docId w15:val="{C1C8EF07-DE7E-434C-830E-3853C47C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2544B3B422946428C69508E2652D0F7"/>
        <w:category>
          <w:name w:val="General"/>
          <w:gallery w:val="placeholder"/>
        </w:category>
        <w:types>
          <w:type w:val="bbPlcHdr"/>
        </w:types>
        <w:behaviors>
          <w:behavior w:val="content"/>
        </w:behaviors>
        <w:guid w:val="{D941B0E5-2A0B-4167-8B0B-732F038E22BF}"/>
      </w:docPartPr>
      <w:docPartBody>
        <w:p w:rsidR="00EB77A2" w:rsidRDefault="00EB77A2"/>
      </w:docPartBody>
    </w:docPart>
    <w:docPart>
      <w:docPartPr>
        <w:name w:val="1DB0E70972C44DEF879B3F8D0E5DA5D6"/>
        <w:category>
          <w:name w:val="General"/>
          <w:gallery w:val="placeholder"/>
        </w:category>
        <w:types>
          <w:type w:val="bbPlcHdr"/>
        </w:types>
        <w:behaviors>
          <w:behavior w:val="content"/>
        </w:behaviors>
        <w:guid w:val="{5D475A49-DA07-4E5B-A40E-C91C5B4F69BE}"/>
      </w:docPartPr>
      <w:docPartBody>
        <w:p w:rsidR="00EB77A2" w:rsidRDefault="00EB77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7185"/>
    <w:rsid w:val="00791900"/>
    <w:rsid w:val="00EB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859A-A51B-4634-AB9B-2DB27E7A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2021-02-11T16:03:00Z</dcterms:created>
  <dcterms:modified xsi:type="dcterms:W3CDTF">2021-02-11T16:46:00Z</dcterms:modified>
</cp:coreProperties>
</file>